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713F">
      <w:pPr>
        <w:spacing w:line="480" w:lineRule="auto"/>
        <w:jc w:val="center"/>
        <w:rPr>
          <w:rFonts w:hint="default" w:ascii="Times New Roman" w:hAnsi="Times New Roman" w:cs="Times New Roman"/>
          <w:b/>
          <w:bCs/>
          <w:sz w:val="24"/>
          <w:szCs w:val="32"/>
        </w:rPr>
      </w:pPr>
      <w:r>
        <w:rPr>
          <w:rFonts w:hint="default" w:ascii="Times New Roman" w:hAnsi="Times New Roman" w:cs="Times New Roman"/>
          <w:b/>
          <w:bCs/>
          <w:sz w:val="24"/>
          <w:szCs w:val="32"/>
        </w:rPr>
        <w:t>2025 Global Innovation Show (GIS) and Booth Introduction</w:t>
      </w:r>
    </w:p>
    <w:p w14:paraId="4EBF9339">
      <w:pPr>
        <w:pStyle w:val="3"/>
        <w:spacing w:line="360" w:lineRule="auto"/>
        <w:ind w:left="0" w:leftChars="0" w:firstLine="220" w:firstLineChars="110"/>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The 2025 Global Innovation Show (GIS) (Hong Kong) is set to take place on December 2–3, 2025 at The AsiaWorld-Expo in Hong Kong.</w:t>
      </w:r>
    </w:p>
    <w:p w14:paraId="498288C8">
      <w:pPr>
        <w:pStyle w:val="3"/>
        <w:spacing w:line="360" w:lineRule="auto"/>
        <w:ind w:left="0" w:leftChars="0" w:firstLine="220" w:firstLineChars="110"/>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This premier technology event is hosted by the Global Tech Innovation Alliance (Hong Kong) (GTIA) and co-hosted by the Silicon Valley Innovation &amp; Entrepreneurship Forum (SVIEF). It is organized by Beijing Gaochuang Technology Co., Ltd and Beijing Zhongji Shengshi Intelligent Technology Co., Ltd. (2045 Accelerator).</w:t>
      </w:r>
    </w:p>
    <w:p w14:paraId="0B8882E2">
      <w:pPr>
        <w:pStyle w:val="3"/>
        <w:spacing w:line="360" w:lineRule="auto"/>
        <w:ind w:left="0" w:leftChars="0" w:firstLine="220" w:firstLineChars="110"/>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Dedicated to advancing global exchanges and collaboration in scientific and technological innovation, GIS champions the principle of “Technology for Good” and “AI for Good”. As a world-class platform for the launch of cutting-edge innovations, it will bring together over 900 pioneering start-ups from leading innovation hubs including Europe, the United States, China, Japan, Singapore, and Australia, alongside more than 100 global Fortune 500 companies, unicorns, and industry leaders. The focus will be on the industrialization of disruptive technologies.</w:t>
      </w:r>
    </w:p>
    <w:p w14:paraId="28B9715A">
      <w:pPr>
        <w:spacing w:line="360" w:lineRule="auto"/>
        <w:ind w:left="0" w:leftChars="0" w:firstLine="208" w:firstLineChars="104"/>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This year's GIS will offer three types of booth options to meet the diverse needs of exhibitors. Each booth will be provided with 3 staff tickets for exhibitors, which can be used to access all venues, and entitle the holders to enjoy exhibitor lunches, coffee, tea and the exhibitor lounge. If your organization has an intention to participate in the exhibition, please contact the staff.</w:t>
      </w:r>
    </w:p>
    <w:p w14:paraId="00D8F2B3">
      <w:pPr>
        <w:spacing w:line="360" w:lineRule="auto"/>
        <w:ind w:left="0" w:leftChars="0" w:firstLine="218" w:firstLineChars="104"/>
        <w:rPr>
          <w:rFonts w:hint="default" w:ascii="Times New Roman" w:hAnsi="Times New Roman" w:cs="Times New Roman"/>
          <w:lang w:val="en-US" w:eastAsia="zh-CN"/>
        </w:rPr>
      </w:pPr>
    </w:p>
    <w:tbl>
      <w:tblPr>
        <w:tblStyle w:val="6"/>
        <w:tblW w:w="86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5"/>
        <w:gridCol w:w="1372"/>
        <w:gridCol w:w="4463"/>
        <w:gridCol w:w="1691"/>
      </w:tblGrid>
      <w:tr w14:paraId="4975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1095"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79281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Booth Type</w:t>
            </w:r>
          </w:p>
        </w:tc>
        <w:tc>
          <w:tcPr>
            <w:tcW w:w="1372"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30641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Area</w:t>
            </w:r>
          </w:p>
        </w:tc>
        <w:tc>
          <w:tcPr>
            <w:tcW w:w="4463"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61F96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Configuration</w:t>
            </w:r>
          </w:p>
        </w:tc>
        <w:tc>
          <w:tcPr>
            <w:tcW w:w="1691" w:type="dxa"/>
            <w:tcBorders>
              <w:top w:val="single" w:color="77B900" w:sz="2" w:space="0"/>
              <w:left w:val="single" w:color="77B900" w:sz="2" w:space="0"/>
              <w:bottom w:val="single" w:color="77B900" w:sz="2" w:space="0"/>
              <w:right w:val="single" w:color="77B900" w:sz="2" w:space="0"/>
            </w:tcBorders>
            <w:shd w:val="clear" w:color="auto" w:fill="77B900"/>
            <w:tcMar>
              <w:left w:w="108" w:type="dxa"/>
              <w:right w:w="108" w:type="dxa"/>
            </w:tcMar>
            <w:vAlign w:val="center"/>
          </w:tcPr>
          <w:p w14:paraId="63C2B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color w:val="FFFFFF" w:themeColor="background1"/>
                <w:sz w:val="18"/>
                <w:szCs w:val="21"/>
                <w:lang w:val="en-US" w:eastAsia="zh-CN"/>
                <w14:textFill>
                  <w14:solidFill>
                    <w14:schemeClr w14:val="bg1"/>
                  </w14:solidFill>
                </w14:textFill>
              </w:rPr>
            </w:pPr>
            <w:r>
              <w:rPr>
                <w:rFonts w:hint="default" w:ascii="Times New Roman" w:hAnsi="Times New Roman" w:cs="Times New Roman"/>
                <w:b/>
                <w:bCs/>
                <w:color w:val="FFFFFF" w:themeColor="background1"/>
                <w:sz w:val="18"/>
                <w:szCs w:val="21"/>
                <w:lang w:val="en-US" w:eastAsia="zh-CN"/>
                <w14:textFill>
                  <w14:solidFill>
                    <w14:schemeClr w14:val="bg1"/>
                  </w14:solidFill>
                </w14:textFill>
              </w:rPr>
              <w:t>Published Price</w:t>
            </w:r>
          </w:p>
        </w:tc>
      </w:tr>
      <w:tr w14:paraId="138D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7"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6A863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Standard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0125C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9m²</w:t>
            </w:r>
          </w:p>
          <w:p w14:paraId="7905D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 3m x 3m x 2.5min height) </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144CA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System information counter (1000mmL x 500mmD x 750mmH)</w:t>
            </w:r>
          </w:p>
          <w:p w14:paraId="3D7CB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Fascia Board (3000mmL x 340mmH) x 1</w:t>
            </w:r>
          </w:p>
          <w:p w14:paraId="216539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Black Leather Chair x 2 pcs</w:t>
            </w:r>
          </w:p>
          <w:p w14:paraId="25364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Square Table x 1 pc</w:t>
            </w:r>
          </w:p>
          <w:p w14:paraId="3F587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500w socket x 1 pcs</w:t>
            </w:r>
          </w:p>
          <w:p w14:paraId="79CE32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13w LED spotlight x 3 pcs</w:t>
            </w:r>
          </w:p>
          <w:p w14:paraId="70AF6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9sqm needlepunch carpet</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left w:w="108" w:type="dxa"/>
              <w:right w:w="108" w:type="dxa"/>
            </w:tcMar>
            <w:vAlign w:val="center"/>
          </w:tcPr>
          <w:p w14:paraId="7BAFB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40,000 RMB per booth</w:t>
            </w:r>
          </w:p>
          <w:p w14:paraId="6D651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44,000 HKD per booth; 6,000 USD per booth)</w:t>
            </w:r>
          </w:p>
        </w:tc>
      </w:tr>
      <w:tr w14:paraId="6B08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6E20F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Startup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08D3F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4.5m²</w:t>
            </w:r>
          </w:p>
          <w:p w14:paraId="3393C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(1.5m in width x 3m in length)</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36A77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Backdrop (1500mmL x 2500mmH)</w:t>
            </w:r>
          </w:p>
          <w:p w14:paraId="3117B7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Backdrop foamboard (1500 x 1750mmH - 1 side) x 1</w:t>
            </w:r>
          </w:p>
          <w:p w14:paraId="0BFC86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Black Leather Chair x 2 pcs</w:t>
            </w:r>
          </w:p>
          <w:p w14:paraId="34C3B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System information counter (1000mmL x 500mmD x 750mmH)</w:t>
            </w:r>
          </w:p>
          <w:p w14:paraId="73B4D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500w socket x 1 pcs</w:t>
            </w:r>
          </w:p>
          <w:p w14:paraId="05C88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13w LED spotlight x 2 pcs</w:t>
            </w:r>
          </w:p>
          <w:p w14:paraId="28FC7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4.5sqm needlepunch carpet</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3838C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20,000 RMB per booth</w:t>
            </w:r>
          </w:p>
          <w:p w14:paraId="30488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22,000 HKD per booth; 3,000 USD per booth)</w:t>
            </w:r>
          </w:p>
        </w:tc>
      </w:tr>
      <w:tr w14:paraId="7EF0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6" w:hRule="atLeast"/>
        </w:trPr>
        <w:tc>
          <w:tcPr>
            <w:tcW w:w="1095"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70B5A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Raw Spa</w:t>
            </w:r>
            <w:bookmarkStart w:id="0" w:name="_GoBack"/>
            <w:bookmarkEnd w:id="0"/>
            <w:r>
              <w:rPr>
                <w:rFonts w:hint="default" w:ascii="Times New Roman" w:hAnsi="Times New Roman" w:cs="Times New Roman"/>
                <w:sz w:val="15"/>
                <w:szCs w:val="18"/>
                <w:lang w:val="en-US" w:eastAsia="zh-CN"/>
              </w:rPr>
              <w:t>ce Booth</w:t>
            </w:r>
          </w:p>
        </w:tc>
        <w:tc>
          <w:tcPr>
            <w:tcW w:w="1372"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4D247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eastAsia" w:ascii="Times New Roman" w:hAnsi="Times New Roman" w:cs="Times New Roman"/>
                <w:sz w:val="15"/>
                <w:szCs w:val="18"/>
                <w:lang w:val="en-US" w:eastAsia="zh-CN"/>
              </w:rPr>
              <w:t>Over</w:t>
            </w:r>
            <w:r>
              <w:rPr>
                <w:rFonts w:hint="default" w:ascii="Times New Roman" w:hAnsi="Times New Roman" w:cs="Times New Roman"/>
                <w:sz w:val="15"/>
                <w:szCs w:val="18"/>
                <w:lang w:val="en-US" w:eastAsia="zh-CN"/>
              </w:rPr>
              <w:t xml:space="preserve"> 36 m²</w:t>
            </w:r>
          </w:p>
        </w:tc>
        <w:tc>
          <w:tcPr>
            <w:tcW w:w="4463"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72304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Exhibitors are responsible for designing and decorating their own exhibition area after booking the space. This option is suitable for companies with personalized and high-end requirements for booth image and display effects, allowing them to fully showcase their brand and product features to attract professional visitors and potential customers.</w:t>
            </w:r>
          </w:p>
        </w:tc>
        <w:tc>
          <w:tcPr>
            <w:tcW w:w="1691" w:type="dxa"/>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4AF10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4,000 RMB per m²</w:t>
            </w:r>
          </w:p>
          <w:p w14:paraId="65D035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(That is, 4,400 HKD per m²; 600 USD per m²)</w:t>
            </w:r>
          </w:p>
        </w:tc>
      </w:tr>
      <w:tr w14:paraId="31F5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8621" w:type="dxa"/>
            <w:gridSpan w:val="4"/>
            <w:tcBorders>
              <w:top w:val="single" w:color="77B900" w:sz="2" w:space="0"/>
              <w:left w:val="single" w:color="77B900" w:sz="2" w:space="0"/>
              <w:bottom w:val="single" w:color="77B900" w:sz="2" w:space="0"/>
              <w:right w:val="single" w:color="77B900" w:sz="2" w:space="0"/>
            </w:tcBorders>
            <w:shd w:val="clear" w:color="auto" w:fill="auto"/>
            <w:tcMar>
              <w:top w:w="48" w:type="dxa"/>
              <w:left w:w="48" w:type="dxa"/>
              <w:bottom w:w="48" w:type="dxa"/>
              <w:right w:w="48" w:type="dxa"/>
            </w:tcMar>
            <w:vAlign w:val="center"/>
          </w:tcPr>
          <w:p w14:paraId="29ED3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15"/>
                <w:szCs w:val="18"/>
                <w:lang w:val="en-US" w:eastAsia="zh-CN"/>
              </w:rPr>
            </w:pPr>
            <w:r>
              <w:rPr>
                <w:rFonts w:hint="default" w:ascii="Times New Roman" w:hAnsi="Times New Roman" w:cs="Times New Roman"/>
                <w:sz w:val="15"/>
                <w:szCs w:val="18"/>
                <w:lang w:val="en-US" w:eastAsia="zh-CN"/>
              </w:rPr>
              <w:t>*All the above booths include the rights and interests of a one-year standard membership of the High-Tech Innovation Club</w:t>
            </w:r>
            <w:r>
              <w:rPr>
                <w:rFonts w:hint="eastAsia" w:ascii="Times New Roman" w:hAnsi="Times New Roman" w:cs="Times New Roman"/>
                <w:sz w:val="15"/>
                <w:szCs w:val="18"/>
                <w:lang w:val="en-US" w:eastAsia="zh-CN"/>
              </w:rPr>
              <w:t>. Applications will be reviewed by the organising committee, which will then allocate booths. The organiser reserves the right of final interpretation.</w:t>
            </w:r>
          </w:p>
          <w:p w14:paraId="022E7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15"/>
                <w:szCs w:val="18"/>
                <w:lang w:val="en-US" w:eastAsia="zh-CN"/>
              </w:rPr>
            </w:pPr>
          </w:p>
        </w:tc>
      </w:tr>
    </w:tbl>
    <w:p w14:paraId="72388181">
      <w:pPr>
        <w:rPr>
          <w:rFonts w:hint="default" w:ascii="Times New Roman" w:hAnsi="Times New Roman" w:cs="Times New Roman"/>
          <w:lang w:val="en-US" w:eastAsia="zh-CN"/>
        </w:rPr>
      </w:pPr>
    </w:p>
    <w:p w14:paraId="1BB2393B">
      <w:pPr>
        <w:ind w:left="0" w:leftChars="0" w:firstLine="218" w:firstLineChars="104"/>
        <w:rPr>
          <w:rFonts w:hint="default"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44A1">
    <w:pPr>
      <w:pStyle w:val="5"/>
    </w:pPr>
    <w:r>
      <w:rPr>
        <w:rFonts w:hint="eastAsia" w:eastAsia="宋体"/>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-553085</wp:posOffset>
          </wp:positionV>
          <wp:extent cx="7773670" cy="1038225"/>
          <wp:effectExtent l="0" t="0" r="13970" b="13335"/>
          <wp:wrapSquare wrapText="bothSides"/>
          <wp:docPr id="1" name="图片 1" descr="微信图片_2025060511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5114822"/>
                  <pic:cNvPicPr>
                    <a:picLocks noChangeAspect="1"/>
                  </pic:cNvPicPr>
                </pic:nvPicPr>
                <pic:blipFill>
                  <a:blip r:embed="rId1"/>
                  <a:stretch>
                    <a:fillRect/>
                  </a:stretch>
                </pic:blipFill>
                <pic:spPr>
                  <a:xfrm>
                    <a:off x="0" y="0"/>
                    <a:ext cx="7773670" cy="1038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946A7"/>
    <w:rsid w:val="115049F7"/>
    <w:rsid w:val="2AEA0044"/>
    <w:rsid w:val="3D5A6927"/>
    <w:rsid w:val="4F923C84"/>
    <w:rsid w:val="797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488</Words>
  <Characters>2525</Characters>
  <Lines>0</Lines>
  <Paragraphs>0</Paragraphs>
  <TotalTime>13</TotalTime>
  <ScaleCrop>false</ScaleCrop>
  <LinksUpToDate>false</LinksUpToDate>
  <CharactersWithSpaces>2983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2025-09-25T11:02:00Z</dcterms:created>
  <dc:creator>T_</dc:creator>
  <cp:lastModifiedBy>T_</cp:lastModifiedBy>
  <dcterms:modified xsi:type="dcterms:W3CDTF">2025-09-28T03:51:28Z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BA4258B9FEC24CBAB1BCB63771C3ACEA_11</vt:lpwstr>
  </property>
  <property fmtid="{D5CDD505-2E9C-101B-9397-08002B2CF9AE}" pid="4" name="KSOTemplateDocerSaveRecord">
    <vt:lpwstr>eyJoZGlkIjoiNGE0NzAxMmQwYTY2MzJjMjZlYTA3YWY5NWQ2NDM4OTkiLCJ1c2VySWQiOiIzMjg1ODMwMzUifQ==</vt:lpwstr>
  </property>
</Properties>
</file>